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9F0953">
        <w:rPr>
          <w:b/>
          <w:sz w:val="28"/>
          <w:szCs w:val="28"/>
        </w:rPr>
        <w:t xml:space="preserve"> 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922269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9F0953">
        <w:rPr>
          <w:i/>
          <w:sz w:val="24"/>
          <w:szCs w:val="24"/>
        </w:rPr>
        <w:t xml:space="preserve"> avizarea cererii de transfer al prof. Sóki Béla pe 16 ore de matematica respectiv a</w:t>
      </w:r>
      <w:r>
        <w:rPr>
          <w:i/>
          <w:sz w:val="24"/>
          <w:szCs w:val="24"/>
        </w:rPr>
        <w:t>vizarea</w:t>
      </w:r>
      <w:r w:rsidR="009F0953">
        <w:rPr>
          <w:i/>
          <w:sz w:val="24"/>
          <w:szCs w:val="24"/>
        </w:rPr>
        <w:t xml:space="preserve"> fracțiunilor de catedră care pot fi ocupate numai cu aviz pedagogic în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9F0953" w:rsidRDefault="0003039F" w:rsidP="009F0953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 </w:t>
      </w:r>
      <w:r w:rsidR="009F0953">
        <w:rPr>
          <w:sz w:val="24"/>
          <w:szCs w:val="24"/>
        </w:rPr>
        <w:t>A</w:t>
      </w:r>
      <w:r w:rsidR="009F0953" w:rsidRPr="009F0953">
        <w:rPr>
          <w:sz w:val="24"/>
          <w:szCs w:val="24"/>
        </w:rPr>
        <w:t>vizarea cererii de transfer al prof. Sóki Béla pe 16 ore de matematica respectiv a</w:t>
      </w:r>
      <w:r w:rsidR="009F0953">
        <w:rPr>
          <w:sz w:val="24"/>
          <w:szCs w:val="24"/>
        </w:rPr>
        <w:t>vizarea</w:t>
      </w:r>
    </w:p>
    <w:p w:rsidR="00771015" w:rsidRDefault="009F0953" w:rsidP="00771015">
      <w:pPr>
        <w:ind w:firstLine="720"/>
        <w:rPr>
          <w:sz w:val="24"/>
          <w:szCs w:val="24"/>
        </w:rPr>
      </w:pPr>
      <w:r w:rsidRPr="009F0953">
        <w:rPr>
          <w:sz w:val="24"/>
          <w:szCs w:val="24"/>
        </w:rPr>
        <w:t xml:space="preserve"> fracțiunilor de catedră care pot fi ocupate numai cu aviz pedagogic în anul școlar 2022-2023</w:t>
      </w:r>
    </w:p>
    <w:p w:rsidR="009F0953" w:rsidRDefault="009F0953" w:rsidP="0077101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după cum urmează:</w:t>
      </w:r>
    </w:p>
    <w:p w:rsidR="009F0953" w:rsidRDefault="009F0953" w:rsidP="009F0953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-  4 ore de limba și literatura română</w:t>
      </w:r>
    </w:p>
    <w:p w:rsidR="009F0953" w:rsidRDefault="009F0953" w:rsidP="009F0953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-  4 ore de limba și literatura maghiară</w:t>
      </w:r>
    </w:p>
    <w:p w:rsidR="009F0953" w:rsidRDefault="009F0953" w:rsidP="009F0953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-  2 ore de matematică</w:t>
      </w:r>
    </w:p>
    <w:p w:rsidR="009F0953" w:rsidRDefault="009F0953" w:rsidP="009F0953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-  10 ore de limba engleză</w:t>
      </w:r>
    </w:p>
    <w:p w:rsidR="003D35F3" w:rsidRPr="00771015" w:rsidRDefault="009F0953" w:rsidP="0077101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-  16 ore de spec. pedagogie </w:t>
      </w:r>
    </w:p>
    <w:p w:rsidR="00E33769" w:rsidRPr="00AC3447" w:rsidRDefault="0022677C" w:rsidP="001812F0">
      <w:pPr>
        <w:jc w:val="both"/>
        <w:rPr>
          <w:color w:val="000000" w:themeColor="text1"/>
          <w:sz w:val="24"/>
          <w:szCs w:val="24"/>
        </w:rPr>
      </w:pPr>
      <w:r w:rsidRPr="001812F0">
        <w:rPr>
          <w:b/>
          <w:sz w:val="24"/>
          <w:szCs w:val="24"/>
        </w:rPr>
        <w:t>Art. 2</w:t>
      </w:r>
      <w:r>
        <w:rPr>
          <w:sz w:val="24"/>
          <w:szCs w:val="24"/>
        </w:rPr>
        <w:t>. 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344" w:rsidRDefault="00AD0344" w:rsidP="00E144F0">
      <w:r>
        <w:separator/>
      </w:r>
    </w:p>
  </w:endnote>
  <w:endnote w:type="continuationSeparator" w:id="0">
    <w:p w:rsidR="00AD0344" w:rsidRDefault="00AD034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344" w:rsidRDefault="00AD0344" w:rsidP="00E144F0">
      <w:r>
        <w:separator/>
      </w:r>
    </w:p>
  </w:footnote>
  <w:footnote w:type="continuationSeparator" w:id="0">
    <w:p w:rsidR="00AD0344" w:rsidRDefault="00AD034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434D"/>
    <w:rsid w:val="004E7599"/>
    <w:rsid w:val="004E7861"/>
    <w:rsid w:val="004F3736"/>
    <w:rsid w:val="00504572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015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2269"/>
    <w:rsid w:val="00925A15"/>
    <w:rsid w:val="009324B4"/>
    <w:rsid w:val="009363C8"/>
    <w:rsid w:val="00944CDB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0344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A0E94-44E9-4BFD-8D27-EB57A3BA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2022-11-24T18:38:00Z</dcterms:created>
  <dcterms:modified xsi:type="dcterms:W3CDTF">2022-11-24T18:51:00Z</dcterms:modified>
</cp:coreProperties>
</file>