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1C774E">
        <w:rPr>
          <w:b/>
          <w:sz w:val="28"/>
          <w:szCs w:val="28"/>
        </w:rPr>
        <w:t>382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F7E87">
        <w:rPr>
          <w:b/>
          <w:sz w:val="28"/>
          <w:szCs w:val="28"/>
        </w:rPr>
        <w:t>23</w:t>
      </w:r>
      <w:r w:rsidR="00CD330A">
        <w:rPr>
          <w:b/>
          <w:sz w:val="28"/>
          <w:szCs w:val="28"/>
        </w:rPr>
        <w:t>.</w:t>
      </w:r>
      <w:r w:rsidR="00BF7E87">
        <w:rPr>
          <w:b/>
          <w:sz w:val="28"/>
          <w:szCs w:val="28"/>
        </w:rPr>
        <w:t>10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104ECE" w:rsidRPr="002E1DA3" w:rsidRDefault="00F20AB8" w:rsidP="00D93370">
      <w:pPr>
        <w:rPr>
          <w:sz w:val="24"/>
          <w:szCs w:val="24"/>
          <w:lang w:val="en-US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D93370">
        <w:rPr>
          <w:sz w:val="24"/>
          <w:szCs w:val="24"/>
        </w:rPr>
        <w:t xml:space="preserve">Aprobarea </w:t>
      </w:r>
      <w:r w:rsidR="001C774E">
        <w:rPr>
          <w:sz w:val="24"/>
          <w:szCs w:val="24"/>
        </w:rPr>
        <w:t>raportului Comisiei de managemant al burselor școlare pentru anul școlar 2024 – 2025, conform anexei</w:t>
      </w:r>
      <w:bookmarkStart w:id="0" w:name="_GoBack"/>
      <w:bookmarkEnd w:id="0"/>
      <w:r w:rsidR="009F6877">
        <w:rPr>
          <w:sz w:val="24"/>
          <w:szCs w:val="24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04EC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C774E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0D2E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592A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C2B5A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6877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3370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75ECF1E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22EFC-A10B-45C7-AEF3-4C71CA42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2024-11-18T03:27:00Z</dcterms:created>
  <dcterms:modified xsi:type="dcterms:W3CDTF">2024-11-18T03:29:00Z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